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spacing w:line="360" w:lineRule="auto"/>
        <w:jc w:val="center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RELATÓRIO TÉCNICO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widowControl w:val="0"/>
        <w:spacing w:line="36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widowControl w:val="0"/>
        <w:spacing w:line="360" w:lineRule="auto"/>
        <w:jc w:val="both"/>
        <w:rPr>
          <w:b w:val="1"/>
        </w:rPr>
      </w:pPr>
      <w:r w:rsidDel="00000000" w:rsidR="00000000" w:rsidRPr="00000000">
        <w:rPr>
          <w:rtl w:val="0"/>
        </w:rPr>
        <w:t xml:space="preserve">PROC. N. </w:t>
      </w:r>
      <w:r w:rsidDel="00000000" w:rsidR="00000000" w:rsidRPr="00000000">
        <w:rPr>
          <w:b w:val="1"/>
          <w:rtl w:val="0"/>
        </w:rPr>
        <w:t xml:space="preserve">{{SIMP}}</w:t>
      </w:r>
    </w:p>
    <w:p w:rsidR="00000000" w:rsidDel="00000000" w:rsidP="00000000" w:rsidRDefault="00000000" w:rsidRPr="00000000" w14:paraId="00000004">
      <w:pPr>
        <w:widowControl w:val="0"/>
        <w:spacing w:line="360" w:lineRule="auto"/>
        <w:jc w:val="both"/>
        <w:rPr>
          <w:b w:val="1"/>
        </w:rPr>
      </w:pPr>
      <w:r w:rsidDel="00000000" w:rsidR="00000000" w:rsidRPr="00000000">
        <w:rPr>
          <w:rtl w:val="0"/>
        </w:rPr>
        <w:t xml:space="preserve">REQUERIDO: </w:t>
      </w:r>
      <w:r w:rsidDel="00000000" w:rsidR="00000000" w:rsidRPr="00000000">
        <w:rPr>
          <w:b w:val="1"/>
          <w:rtl w:val="0"/>
        </w:rPr>
        <w:t xml:space="preserve">{{REQUERIDOS}}</w:t>
      </w:r>
    </w:p>
    <w:p w:rsidR="00000000" w:rsidDel="00000000" w:rsidP="00000000" w:rsidRDefault="00000000" w:rsidRPr="00000000" w14:paraId="00000005">
      <w:pPr>
        <w:widowControl w:val="0"/>
        <w:spacing w:line="360" w:lineRule="auto"/>
        <w:jc w:val="both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widowControl w:val="0"/>
        <w:spacing w:after="200" w:line="360" w:lineRule="auto"/>
        <w:ind w:firstLine="2267.716535433071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 presente valoração do dano ambiental baseia-se nos trabalhos de Roquette (2019</w:t>
      </w:r>
      <w:r w:rsidDel="00000000" w:rsidR="00000000" w:rsidRPr="00000000">
        <w:rPr>
          <w:sz w:val="24"/>
          <w:szCs w:val="24"/>
          <w:vertAlign w:val="superscript"/>
        </w:rPr>
        <w:footnoteReference w:customMarkFollows="0" w:id="0"/>
      </w:r>
      <w:r w:rsidDel="00000000" w:rsidR="00000000" w:rsidRPr="00000000">
        <w:rPr>
          <w:sz w:val="24"/>
          <w:szCs w:val="24"/>
          <w:rtl w:val="0"/>
        </w:rPr>
        <w:t xml:space="preserve">) e Gonzaga e Roquette (2020</w:t>
      </w:r>
      <w:r w:rsidDel="00000000" w:rsidR="00000000" w:rsidRPr="00000000">
        <w:rPr>
          <w:sz w:val="24"/>
          <w:szCs w:val="24"/>
          <w:vertAlign w:val="superscript"/>
        </w:rPr>
        <w:footnoteReference w:customMarkFollows="0" w:id="1"/>
      </w:r>
      <w:r w:rsidDel="00000000" w:rsidR="00000000" w:rsidRPr="00000000">
        <w:rPr>
          <w:sz w:val="24"/>
          <w:szCs w:val="24"/>
          <w:rtl w:val="0"/>
        </w:rPr>
        <w:t xml:space="preserve">).</w:t>
      </w:r>
    </w:p>
    <w:p w:rsidR="00000000" w:rsidDel="00000000" w:rsidP="00000000" w:rsidRDefault="00000000" w:rsidRPr="00000000" w14:paraId="00000007">
      <w:pPr>
        <w:widowControl w:val="0"/>
        <w:spacing w:after="200" w:line="360" w:lineRule="auto"/>
        <w:ind w:firstLine="2267.716535433071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Utilizaram-se os seguintes critérios:</w:t>
      </w:r>
    </w:p>
    <w:p w:rsidR="00000000" w:rsidDel="00000000" w:rsidP="00000000" w:rsidRDefault="00000000" w:rsidRPr="00000000" w14:paraId="00000008">
      <w:pPr>
        <w:widowControl w:val="0"/>
        <w:numPr>
          <w:ilvl w:val="0"/>
          <w:numId w:val="3"/>
        </w:numPr>
        <w:spacing w:after="0" w:afterAutospacing="0" w:line="360" w:lineRule="auto"/>
        <w:ind w:left="2880" w:hanging="360"/>
        <w:rPr>
          <w:sz w:val="24"/>
          <w:szCs w:val="24"/>
          <w:u w:val="none"/>
        </w:rPr>
      </w:pPr>
      <w:r w:rsidDel="00000000" w:rsidR="00000000" w:rsidRPr="00000000">
        <w:rPr>
          <w:sz w:val="24"/>
          <w:szCs w:val="24"/>
          <w:rtl w:val="0"/>
        </w:rPr>
        <w:t xml:space="preserve">dano material: {{texto_metodo_reparacao_escolhido}}</w:t>
      </w:r>
    </w:p>
    <w:p w:rsidR="00000000" w:rsidDel="00000000" w:rsidP="00000000" w:rsidRDefault="00000000" w:rsidRPr="00000000" w14:paraId="00000009">
      <w:pPr>
        <w:widowControl w:val="0"/>
        <w:numPr>
          <w:ilvl w:val="0"/>
          <w:numId w:val="3"/>
        </w:numPr>
        <w:spacing w:after="200" w:line="360" w:lineRule="auto"/>
        <w:ind w:left="2880" w:hanging="360"/>
        <w:rPr>
          <w:sz w:val="24"/>
          <w:szCs w:val="24"/>
          <w:u w:val="none"/>
        </w:rPr>
      </w:pPr>
      <w:r w:rsidDel="00000000" w:rsidR="00000000" w:rsidRPr="00000000">
        <w:rPr>
          <w:sz w:val="24"/>
          <w:szCs w:val="24"/>
          <w:rtl w:val="0"/>
        </w:rPr>
        <w:t xml:space="preserve">dano extrapatrimonial: {{nome_metodo_extrapatrimonial}}</w:t>
      </w:r>
    </w:p>
    <w:p w:rsidR="00000000" w:rsidDel="00000000" w:rsidP="00000000" w:rsidRDefault="00000000" w:rsidRPr="00000000" w14:paraId="0000000A">
      <w:pPr>
        <w:widowControl w:val="0"/>
        <w:spacing w:after="200" w:line="360" w:lineRule="auto"/>
        <w:ind w:left="0" w:firstLine="2267.716535433071"/>
        <w:jc w:val="left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As características do desflorestamento ilegal são:</w:t>
      </w:r>
    </w:p>
    <w:p w:rsidR="00000000" w:rsidDel="00000000" w:rsidP="00000000" w:rsidRDefault="00000000" w:rsidRPr="00000000" w14:paraId="0000000B">
      <w:pPr>
        <w:widowControl w:val="0"/>
        <w:numPr>
          <w:ilvl w:val="0"/>
          <w:numId w:val="1"/>
        </w:numPr>
        <w:spacing w:after="0" w:afterAutospacing="0" w:line="360" w:lineRule="auto"/>
        <w:ind w:left="2880" w:hanging="360"/>
        <w:jc w:val="left"/>
        <w:rPr>
          <w:sz w:val="24"/>
          <w:szCs w:val="24"/>
          <w:u w:val="none"/>
        </w:rPr>
      </w:pPr>
      <w:r w:rsidDel="00000000" w:rsidR="00000000" w:rsidRPr="00000000">
        <w:rPr>
          <w:sz w:val="24"/>
          <w:szCs w:val="24"/>
          <w:rtl w:val="0"/>
        </w:rPr>
        <w:t xml:space="preserve">Área destruída igual a  </w:t>
      </w:r>
      <w:r w:rsidDel="00000000" w:rsidR="00000000" w:rsidRPr="00000000">
        <w:rPr>
          <w:b w:val="1"/>
          <w:sz w:val="24"/>
          <w:szCs w:val="24"/>
          <w:rtl w:val="0"/>
        </w:rPr>
        <w:t xml:space="preserve">{{AREA_DESMATADA}}</w:t>
      </w:r>
      <w:r w:rsidDel="00000000" w:rsidR="00000000" w:rsidRPr="00000000">
        <w:rPr>
          <w:sz w:val="24"/>
          <w:szCs w:val="24"/>
          <w:rtl w:val="0"/>
        </w:rPr>
        <w:t xml:space="preserve"> </w:t>
      </w:r>
      <w:r w:rsidDel="00000000" w:rsidR="00000000" w:rsidRPr="00000000">
        <w:rPr>
          <w:b w:val="1"/>
          <w:sz w:val="24"/>
          <w:szCs w:val="24"/>
          <w:rtl w:val="0"/>
        </w:rPr>
        <w:t xml:space="preserve">hectares</w:t>
      </w:r>
      <w:r w:rsidDel="00000000" w:rsidR="00000000" w:rsidRPr="00000000">
        <w:rPr>
          <w:sz w:val="24"/>
          <w:szCs w:val="24"/>
          <w:rtl w:val="0"/>
        </w:rPr>
        <w:t xml:space="preserve">;</w:t>
      </w:r>
    </w:p>
    <w:p w:rsidR="00000000" w:rsidDel="00000000" w:rsidP="00000000" w:rsidRDefault="00000000" w:rsidRPr="00000000" w14:paraId="0000000C">
      <w:pPr>
        <w:widowControl w:val="0"/>
        <w:numPr>
          <w:ilvl w:val="0"/>
          <w:numId w:val="1"/>
        </w:numPr>
        <w:spacing w:after="0" w:afterAutospacing="0" w:line="360" w:lineRule="auto"/>
        <w:ind w:left="2880" w:hanging="360"/>
        <w:jc w:val="left"/>
        <w:rPr>
          <w:sz w:val="24"/>
          <w:szCs w:val="24"/>
          <w:u w:val="none"/>
        </w:rPr>
      </w:pPr>
      <w:r w:rsidDel="00000000" w:rsidR="00000000" w:rsidRPr="00000000">
        <w:rPr>
          <w:sz w:val="24"/>
          <w:szCs w:val="24"/>
          <w:rtl w:val="0"/>
        </w:rPr>
        <w:t xml:space="preserve">{{TIPO_PROTECAO}};</w:t>
      </w:r>
    </w:p>
    <w:p w:rsidR="00000000" w:rsidDel="00000000" w:rsidP="00000000" w:rsidRDefault="00000000" w:rsidRPr="00000000" w14:paraId="0000000D">
      <w:pPr>
        <w:widowControl w:val="0"/>
        <w:numPr>
          <w:ilvl w:val="0"/>
          <w:numId w:val="1"/>
        </w:numPr>
        <w:spacing w:after="0" w:afterAutospacing="0" w:line="360" w:lineRule="auto"/>
        <w:ind w:left="2880" w:hanging="360"/>
        <w:jc w:val="left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{{BIOMA}};</w:t>
      </w:r>
    </w:p>
    <w:p w:rsidR="00000000" w:rsidDel="00000000" w:rsidP="00000000" w:rsidRDefault="00000000" w:rsidRPr="00000000" w14:paraId="0000000E">
      <w:pPr>
        <w:widowControl w:val="0"/>
        <w:numPr>
          <w:ilvl w:val="0"/>
          <w:numId w:val="1"/>
        </w:numPr>
        <w:spacing w:after="0" w:afterAutospacing="0" w:line="360" w:lineRule="auto"/>
        <w:ind w:left="2880" w:hanging="360"/>
        <w:jc w:val="left"/>
        <w:rPr>
          <w:sz w:val="24"/>
          <w:szCs w:val="24"/>
          <w:u w:val="none"/>
        </w:rPr>
      </w:pPr>
      <w:r w:rsidDel="00000000" w:rsidR="00000000" w:rsidRPr="00000000">
        <w:rPr>
          <w:sz w:val="24"/>
          <w:szCs w:val="24"/>
          <w:rtl w:val="0"/>
        </w:rPr>
        <w:t xml:space="preserve">{{remocao_solo}}</w:t>
      </w:r>
    </w:p>
    <w:p w:rsidR="00000000" w:rsidDel="00000000" w:rsidP="00000000" w:rsidRDefault="00000000" w:rsidRPr="00000000" w14:paraId="0000000F">
      <w:pPr>
        <w:widowControl w:val="0"/>
        <w:numPr>
          <w:ilvl w:val="0"/>
          <w:numId w:val="1"/>
        </w:numPr>
        <w:spacing w:after="0" w:afterAutospacing="0" w:line="360" w:lineRule="auto"/>
        <w:ind w:left="2880" w:hanging="360"/>
        <w:jc w:val="left"/>
        <w:rPr>
          <w:sz w:val="24"/>
          <w:szCs w:val="24"/>
          <w:u w:val="none"/>
        </w:rPr>
      </w:pPr>
      <w:r w:rsidDel="00000000" w:rsidR="00000000" w:rsidRPr="00000000">
        <w:rPr>
          <w:sz w:val="24"/>
          <w:szCs w:val="24"/>
          <w:rtl w:val="0"/>
        </w:rPr>
        <w:t xml:space="preserve">{{potencial_resiliencia}}</w:t>
      </w:r>
    </w:p>
    <w:p w:rsidR="00000000" w:rsidDel="00000000" w:rsidP="00000000" w:rsidRDefault="00000000" w:rsidRPr="00000000" w14:paraId="00000010">
      <w:pPr>
        <w:widowControl w:val="0"/>
        <w:numPr>
          <w:ilvl w:val="0"/>
          <w:numId w:val="1"/>
        </w:numPr>
        <w:spacing w:after="0" w:afterAutospacing="0" w:line="360" w:lineRule="auto"/>
        <w:ind w:left="2880" w:hanging="360"/>
        <w:jc w:val="left"/>
        <w:rPr>
          <w:sz w:val="24"/>
          <w:szCs w:val="24"/>
          <w:u w:val="none"/>
        </w:rPr>
      </w:pPr>
      <w:r w:rsidDel="00000000" w:rsidR="00000000" w:rsidRPr="00000000">
        <w:rPr>
          <w:sz w:val="24"/>
          <w:szCs w:val="24"/>
          <w:rtl w:val="0"/>
        </w:rPr>
        <w:t xml:space="preserve">{{ocorrencia_queimadas}}</w:t>
      </w:r>
    </w:p>
    <w:p w:rsidR="00000000" w:rsidDel="00000000" w:rsidP="00000000" w:rsidRDefault="00000000" w:rsidRPr="00000000" w14:paraId="00000011">
      <w:pPr>
        <w:widowControl w:val="0"/>
        <w:numPr>
          <w:ilvl w:val="0"/>
          <w:numId w:val="1"/>
        </w:numPr>
        <w:spacing w:after="200" w:line="360" w:lineRule="auto"/>
        <w:ind w:left="2880" w:hanging="360"/>
        <w:jc w:val="left"/>
        <w:rPr>
          <w:sz w:val="24"/>
          <w:szCs w:val="24"/>
          <w:u w:val="none"/>
        </w:rPr>
      </w:pPr>
      <w:r w:rsidDel="00000000" w:rsidR="00000000" w:rsidRPr="00000000">
        <w:rPr>
          <w:sz w:val="24"/>
          <w:szCs w:val="24"/>
          <w:rtl w:val="0"/>
        </w:rPr>
        <w:t xml:space="preserve">{{presenca_gado}}</w:t>
      </w:r>
    </w:p>
    <w:p w:rsidR="00000000" w:rsidDel="00000000" w:rsidP="00000000" w:rsidRDefault="00000000" w:rsidRPr="00000000" w14:paraId="00000012">
      <w:pPr>
        <w:widowControl w:val="0"/>
        <w:spacing w:after="200" w:line="360" w:lineRule="auto"/>
        <w:ind w:left="0" w:firstLine="2267.716535433071"/>
        <w:jc w:val="left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{{circunstancias_dano}}.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widowControl w:val="0"/>
        <w:spacing w:after="200" w:before="200" w:line="360" w:lineRule="auto"/>
        <w:ind w:left="0" w:firstLine="0"/>
        <w:jc w:val="both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CONCLUSÃO</w:t>
      </w:r>
    </w:p>
    <w:p w:rsidR="00000000" w:rsidDel="00000000" w:rsidP="00000000" w:rsidRDefault="00000000" w:rsidRPr="00000000" w14:paraId="00000014">
      <w:pPr>
        <w:widowControl w:val="0"/>
        <w:spacing w:after="200" w:line="360" w:lineRule="auto"/>
        <w:ind w:firstLine="2267.716535433071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{{CONTEUDO_MANIFESTACAO}}</w:t>
      </w:r>
    </w:p>
    <w:p w:rsidR="00000000" w:rsidDel="00000000" w:rsidP="00000000" w:rsidRDefault="00000000" w:rsidRPr="00000000" w14:paraId="00000015">
      <w:pPr>
        <w:widowControl w:val="0"/>
        <w:spacing w:line="360" w:lineRule="auto"/>
        <w:ind w:firstLine="2267.71653543307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Oferece-se como alternativa ao pagamento "in pecunia" </w:t>
      </w:r>
      <w:r w:rsidDel="00000000" w:rsidR="00000000" w:rsidRPr="00000000">
        <w:rPr>
          <w:b w:val="1"/>
          <w:sz w:val="24"/>
          <w:szCs w:val="24"/>
          <w:rtl w:val="0"/>
        </w:rPr>
        <w:t xml:space="preserve">a instituição de servidão ambiental perpétua (art. 9º-A da Lei 6.938/81), com a mesma proteção de unidade de conservação de proteção integral Reserva Particular do Patrimônio Natural, conforme disposto no art. 21, §2º, da Lei 9.985/2000</w:t>
      </w:r>
      <w:r w:rsidDel="00000000" w:rsidR="00000000" w:rsidRPr="00000000">
        <w:rPr>
          <w:sz w:val="24"/>
          <w:szCs w:val="24"/>
          <w:rtl w:val="0"/>
        </w:rPr>
        <w:t xml:space="preserve">. Não poderá ser emitida CRA (cota de reserva ambiental) destas servidões ambientais pelo prazo de </w:t>
      </w:r>
      <w:r w:rsidDel="00000000" w:rsidR="00000000" w:rsidRPr="00000000">
        <w:rPr>
          <w:b w:val="1"/>
          <w:sz w:val="24"/>
          <w:szCs w:val="24"/>
          <w:rtl w:val="0"/>
        </w:rPr>
        <w:t xml:space="preserve">15 anos</w:t>
      </w:r>
      <w:r w:rsidDel="00000000" w:rsidR="00000000" w:rsidRPr="00000000">
        <w:rPr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016">
      <w:pPr>
        <w:widowControl w:val="0"/>
        <w:spacing w:after="200" w:line="360" w:lineRule="auto"/>
        <w:ind w:firstLine="2267.716535433071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{{conversao_servidao_ambiental}}</w:t>
      </w:r>
    </w:p>
    <w:p w:rsidR="00000000" w:rsidDel="00000000" w:rsidP="00000000" w:rsidRDefault="00000000" w:rsidRPr="00000000" w14:paraId="00000017">
      <w:pPr>
        <w:widowControl w:val="0"/>
        <w:spacing w:line="360" w:lineRule="auto"/>
        <w:ind w:firstLine="2267.71653543307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Benefícios da servidão ambiental:</w:t>
      </w:r>
    </w:p>
    <w:p w:rsidR="00000000" w:rsidDel="00000000" w:rsidP="00000000" w:rsidRDefault="00000000" w:rsidRPr="00000000" w14:paraId="00000018">
      <w:pPr>
        <w:widowControl w:val="0"/>
        <w:numPr>
          <w:ilvl w:val="0"/>
          <w:numId w:val="2"/>
        </w:numPr>
        <w:spacing w:line="360" w:lineRule="auto"/>
        <w:ind w:left="2880" w:hanging="36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"A servidão ambiental perpétua equivale, para fins creditícios, tributários e de acesso aos recursos de fundos públicos, à Reserva Particular do Patrimônio Natural - RPPN</w:t>
      </w:r>
      <w:r w:rsidDel="00000000" w:rsidR="00000000" w:rsidRPr="00000000">
        <w:rPr>
          <w:sz w:val="24"/>
          <w:szCs w:val="24"/>
          <w:vertAlign w:val="superscript"/>
        </w:rPr>
        <w:footnoteReference w:customMarkFollows="0" w:id="2"/>
      </w:r>
      <w:r w:rsidDel="00000000" w:rsidR="00000000" w:rsidRPr="00000000">
        <w:rPr>
          <w:sz w:val="24"/>
          <w:szCs w:val="24"/>
          <w:rtl w:val="0"/>
        </w:rPr>
        <w:t xml:space="preserve">, definida no art. 21 da Lei no 9.985, de 18 de julho de 2000" (Art. 9º-B, § 2º, da Lei 6.938/81);</w:t>
      </w:r>
    </w:p>
    <w:p w:rsidR="00000000" w:rsidDel="00000000" w:rsidP="00000000" w:rsidRDefault="00000000" w:rsidRPr="00000000" w14:paraId="00000019">
      <w:pPr>
        <w:widowControl w:val="0"/>
        <w:numPr>
          <w:ilvl w:val="0"/>
          <w:numId w:val="2"/>
        </w:numPr>
        <w:spacing w:line="360" w:lineRule="auto"/>
        <w:ind w:left="2880" w:hanging="36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Poderá comercializar Cota de Reserva Ambiental - CRA, título nominativo representativo de área com vegetação nativa, existente ou em processo de recuperação (art. 44, I, da Lei 12.651/12), após o prazo estipulado.</w:t>
      </w:r>
    </w:p>
    <w:p w:rsidR="00000000" w:rsidDel="00000000" w:rsidP="00000000" w:rsidRDefault="00000000" w:rsidRPr="00000000" w14:paraId="0000001A">
      <w:pPr>
        <w:widowControl w:val="0"/>
        <w:spacing w:line="360" w:lineRule="auto"/>
        <w:ind w:firstLine="2267.71653543307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widowControl w:val="0"/>
        <w:spacing w:after="200" w:line="360" w:lineRule="auto"/>
        <w:ind w:left="-30" w:firstLine="2297.716535433071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{{CIDADE}}, {{DATA_HOJE}}.</w:t>
      </w:r>
    </w:p>
    <w:p w:rsidR="00000000" w:rsidDel="00000000" w:rsidP="00000000" w:rsidRDefault="00000000" w:rsidRPr="00000000" w14:paraId="0000001C">
      <w:pPr>
        <w:widowControl w:val="0"/>
        <w:spacing w:after="200" w:line="360" w:lineRule="auto"/>
        <w:ind w:hanging="3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widowControl w:val="0"/>
        <w:ind w:hanging="30"/>
        <w:jc w:val="center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{{SUBSCRITOR}}</w:t>
      </w:r>
    </w:p>
    <w:p w:rsidR="00000000" w:rsidDel="00000000" w:rsidP="00000000" w:rsidRDefault="00000000" w:rsidRPr="00000000" w14:paraId="0000001E">
      <w:pPr>
        <w:widowControl w:val="0"/>
        <w:ind w:hanging="30"/>
        <w:jc w:val="center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{{CARGO_SUBSCRITOR}}</w:t>
      </w: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6834" w:w="11909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8">
    <w:pPr>
      <w:jc w:val="right"/>
      <w:rPr>
        <w:color w:val="999999"/>
      </w:rPr>
    </w:pPr>
    <w:r w:rsidDel="00000000" w:rsidR="00000000" w:rsidRPr="00000000">
      <w:rPr>
        <w:color w:val="999999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footnotes.xml><?xml version="1.0" encoding="utf-8"?>
<w:footnot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otnote w:id="2">
    <w:p w:rsidR="00000000" w:rsidDel="00000000" w:rsidP="00000000" w:rsidRDefault="00000000" w:rsidRPr="00000000" w14:paraId="00000029">
      <w:pPr>
        <w:spacing w:line="240" w:lineRule="auto"/>
        <w:jc w:val="both"/>
        <w:rPr>
          <w:sz w:val="20"/>
          <w:szCs w:val="20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sz w:val="20"/>
          <w:szCs w:val="20"/>
          <w:rtl w:val="0"/>
        </w:rPr>
        <w:t xml:space="preserve"> Benefícios da RPPN: a isenção do Imposto Territorial Rural (ITR) referente à área; a possibilidade de explorar e desenvolver atividades de ecoturismo e educação ambiental, desde que previstas no seu plano de manejo; a possibilidade de formalizar parcerias com instituições públicas e privadas na proteção, gestão e manejo da área; e preferência na análise de pedidos de concessão de crédito agrícola, junto às instituições oficiais de crédito.</w:t>
      </w:r>
    </w:p>
  </w:footnote>
  <w:footnote w:id="0">
    <w:p w:rsidR="00000000" w:rsidDel="00000000" w:rsidP="00000000" w:rsidRDefault="00000000" w:rsidRPr="00000000" w14:paraId="0000002A">
      <w:pPr>
        <w:spacing w:line="240" w:lineRule="auto"/>
        <w:rPr>
          <w:sz w:val="20"/>
          <w:szCs w:val="20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sz w:val="20"/>
          <w:szCs w:val="20"/>
          <w:rtl w:val="0"/>
        </w:rPr>
        <w:t xml:space="preserve"> Roquette, J. G. (2019). Reparação de danos ambientais causados por desflorestamento na Amazônia: uma proposta metodológica. Revista Direito Ambiental e Sociedade, 9(3).</w:t>
      </w:r>
    </w:p>
    <w:p w:rsidR="00000000" w:rsidDel="00000000" w:rsidP="00000000" w:rsidRDefault="00000000" w:rsidRPr="00000000" w14:paraId="0000002B">
      <w:pPr>
        <w:spacing w:line="240" w:lineRule="auto"/>
        <w:rPr>
          <w:sz w:val="20"/>
          <w:szCs w:val="20"/>
        </w:rPr>
      </w:pPr>
      <w:r w:rsidDel="00000000" w:rsidR="00000000" w:rsidRPr="00000000">
        <w:rPr>
          <w:rtl w:val="0"/>
        </w:rPr>
      </w:r>
    </w:p>
  </w:footnote>
  <w:footnote w:id="1">
    <w:p w:rsidR="00000000" w:rsidDel="00000000" w:rsidP="00000000" w:rsidRDefault="00000000" w:rsidRPr="00000000" w14:paraId="0000002C">
      <w:pPr>
        <w:spacing w:line="240" w:lineRule="auto"/>
        <w:rPr>
          <w:sz w:val="20"/>
          <w:szCs w:val="20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sz w:val="20"/>
          <w:szCs w:val="20"/>
          <w:rtl w:val="0"/>
        </w:rPr>
        <w:t xml:space="preserve"> </w:t>
      </w:r>
      <w:hyperlink r:id="rId1">
        <w:r w:rsidDel="00000000" w:rsidR="00000000" w:rsidRPr="00000000">
          <w:rPr>
            <w:color w:val="1155cc"/>
            <w:sz w:val="20"/>
            <w:szCs w:val="20"/>
            <w:u w:val="single"/>
            <w:rtl w:val="0"/>
          </w:rPr>
          <w:t xml:space="preserve">https://consciencia.eco.br/index.php?title=Projeto_Olhos_da_Mata#Valora.C3.A7.C3.A3o_do_Dano_Ambiental</w:t>
        </w:r>
      </w:hyperlink>
      <w:r w:rsidDel="00000000" w:rsidR="00000000" w:rsidRPr="00000000">
        <w:rPr>
          <w:sz w:val="20"/>
          <w:szCs w:val="20"/>
          <w:rtl w:val="0"/>
        </w:rPr>
        <w:t xml:space="preserve"> </w:t>
      </w:r>
      <w:r w:rsidDel="00000000" w:rsidR="00000000" w:rsidRPr="00000000">
        <w:rPr>
          <w:rtl w:val="0"/>
        </w:rPr>
      </w:r>
    </w:p>
  </w:footnote>
</w:footnote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F">
    <w:pPr>
      <w:spacing w:line="240" w:lineRule="auto"/>
      <w:jc w:val="center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0">
    <w:pPr>
      <w:shd w:fill="ffffff" w:val="clear"/>
      <w:spacing w:line="240" w:lineRule="auto"/>
      <w:rPr>
        <w:sz w:val="24"/>
        <w:szCs w:val="24"/>
      </w:rPr>
    </w:pPr>
    <w:r w:rsidDel="00000000" w:rsidR="00000000" w:rsidRPr="00000000">
      <w:rPr>
        <w:rtl w:val="0"/>
      </w:rPr>
    </w:r>
  </w:p>
  <w:tbl>
    <w:tblPr>
      <w:tblStyle w:val="Table1"/>
      <w:tblW w:w="9345.0" w:type="dxa"/>
      <w:jc w:val="left"/>
      <w:tblInd w:w="175.0" w:type="dxa"/>
      <w:tblBorders>
        <w:top w:color="000000" w:space="0" w:sz="8" w:val="single"/>
        <w:left w:color="000000" w:space="0" w:sz="8" w:val="single"/>
        <w:bottom w:color="000000" w:space="0" w:sz="8" w:val="single"/>
        <w:right w:color="000000" w:space="0" w:sz="8" w:val="single"/>
        <w:insideH w:color="000000" w:space="0" w:sz="8" w:val="single"/>
        <w:insideV w:color="000000" w:space="0" w:sz="8" w:val="single"/>
      </w:tblBorders>
      <w:tblLayout w:type="fixed"/>
      <w:tblLook w:val="0600"/>
    </w:tblPr>
    <w:tblGrid>
      <w:gridCol w:w="4275"/>
      <w:gridCol w:w="5070"/>
      <w:tblGridChange w:id="0">
        <w:tblGrid>
          <w:gridCol w:w="4275"/>
          <w:gridCol w:w="5070"/>
        </w:tblGrid>
      </w:tblGridChange>
    </w:tblGrid>
    <w:tr>
      <w:tc>
        <w:tcPr>
          <w:tcBorders>
            <w:top w:color="ffffff" w:space="0" w:sz="8" w:val="single"/>
            <w:left w:color="ffffff" w:space="0" w:sz="8" w:val="single"/>
            <w:bottom w:color="ffffff" w:space="0" w:sz="8" w:val="single"/>
            <w:right w:color="ffffff" w:space="0" w:sz="8" w:val="single"/>
          </w:tcBorders>
          <w:shd w:fill="auto" w:val="clear"/>
          <w:tcMar>
            <w:top w:w="100.0" w:type="dxa"/>
            <w:left w:w="100.0" w:type="dxa"/>
            <w:bottom w:w="100.0" w:type="dxa"/>
            <w:right w:w="100.0" w:type="dxa"/>
          </w:tcMar>
          <w:vAlign w:val="top"/>
        </w:tcPr>
        <w:p w:rsidR="00000000" w:rsidDel="00000000" w:rsidP="00000000" w:rsidRDefault="00000000" w:rsidRPr="00000000" w14:paraId="00000021">
          <w:pPr>
            <w:shd w:fill="ffffff" w:val="clear"/>
            <w:spacing w:line="240" w:lineRule="auto"/>
            <w:rPr>
              <w:sz w:val="24"/>
              <w:szCs w:val="24"/>
            </w:rPr>
          </w:pPr>
          <w:r w:rsidDel="00000000" w:rsidR="00000000" w:rsidRPr="00000000">
            <w:rPr/>
            <w:drawing>
              <wp:inline distB="114300" distT="114300" distL="114300" distR="114300">
                <wp:extent cx="2581275" cy="1092200"/>
                <wp:effectExtent b="0" l="0" r="0" t="0"/>
                <wp:docPr id="1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581275" cy="1092200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ffffff" w:space="0" w:sz="8" w:val="single"/>
            <w:left w:color="ffffff" w:space="0" w:sz="8" w:val="single"/>
            <w:bottom w:color="ffffff" w:space="0" w:sz="8" w:val="single"/>
            <w:right w:color="ffffff" w:space="0" w:sz="8" w:val="single"/>
          </w:tcBorders>
          <w:shd w:fill="auto" w:val="clear"/>
          <w:tcMar>
            <w:top w:w="100.0" w:type="dxa"/>
            <w:left w:w="100.0" w:type="dxa"/>
            <w:bottom w:w="100.0" w:type="dxa"/>
            <w:right w:w="100.0" w:type="dxa"/>
          </w:tcMar>
          <w:vAlign w:val="top"/>
        </w:tcPr>
        <w:p w:rsidR="00000000" w:rsidDel="00000000" w:rsidP="00000000" w:rsidRDefault="00000000" w:rsidRPr="00000000" w14:paraId="00000022">
          <w:pPr>
            <w:shd w:fill="ffffff" w:val="clear"/>
            <w:spacing w:line="240" w:lineRule="auto"/>
            <w:rPr/>
          </w:pP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3">
          <w:pPr>
            <w:shd w:fill="ffffff" w:val="clear"/>
            <w:spacing w:line="240" w:lineRule="auto"/>
            <w:jc w:val="center"/>
            <w:rPr>
              <w:sz w:val="28"/>
              <w:szCs w:val="28"/>
            </w:rPr>
          </w:pP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4">
          <w:pPr>
            <w:shd w:fill="ffffff" w:val="clear"/>
            <w:spacing w:line="240" w:lineRule="auto"/>
            <w:jc w:val="center"/>
            <w:rPr>
              <w:sz w:val="28"/>
              <w:szCs w:val="28"/>
            </w:rPr>
          </w:pPr>
          <w:r w:rsidDel="00000000" w:rsidR="00000000" w:rsidRPr="00000000">
            <w:rPr>
              <w:sz w:val="28"/>
              <w:szCs w:val="28"/>
              <w:rtl w:val="0"/>
            </w:rPr>
            <w:t xml:space="preserve">{{ORGAO_EXECUCAO}}</w:t>
          </w:r>
        </w:p>
        <w:p w:rsidR="00000000" w:rsidDel="00000000" w:rsidP="00000000" w:rsidRDefault="00000000" w:rsidRPr="00000000" w14:paraId="00000025">
          <w:pPr>
            <w:shd w:fill="ffffff" w:val="clear"/>
            <w:spacing w:line="240" w:lineRule="auto"/>
            <w:jc w:val="center"/>
            <w:rPr>
              <w:sz w:val="24"/>
              <w:szCs w:val="24"/>
            </w:rPr>
          </w:pPr>
          <w:r w:rsidDel="00000000" w:rsidR="00000000" w:rsidRPr="00000000">
            <w:rPr>
              <w:sz w:val="24"/>
              <w:szCs w:val="24"/>
              <w:rtl w:val="0"/>
            </w:rPr>
            <w:t xml:space="preserve">{{ORGAO_ENDERECO}}</w:t>
          </w:r>
        </w:p>
        <w:p w:rsidR="00000000" w:rsidDel="00000000" w:rsidP="00000000" w:rsidRDefault="00000000" w:rsidRPr="00000000" w14:paraId="00000026">
          <w:pPr>
            <w:shd w:fill="ffffff" w:val="clear"/>
            <w:spacing w:line="240" w:lineRule="auto"/>
            <w:jc w:val="center"/>
            <w:rPr>
              <w:sz w:val="28"/>
              <w:szCs w:val="28"/>
            </w:rPr>
          </w:pP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27">
    <w:pPr>
      <w:spacing w:line="240" w:lineRule="auto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648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720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792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864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288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360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432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504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576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648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720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792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864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648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720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792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864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pt_B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footnotes" Target="footnotes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otnotes.xml.rels><?xml version="1.0" encoding="UTF-8" standalone="yes"?><Relationships xmlns="http://schemas.openxmlformats.org/package/2006/relationships"><Relationship Id="rId1" Type="http://schemas.openxmlformats.org/officeDocument/2006/relationships/hyperlink" Target="https://consciencia.eco.br/index.php?title=Projeto_Olhos_da_Mata#Valora.C3.A7.C3.A3o_do_Dano_Ambiental" TargetMode="Externa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